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91440" distT="91440" distL="114300" distR="114300">
            <wp:extent cx="5944870" cy="1028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MECAHOA.ORG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Sellers Request for Disclosure Packet</w:t>
      </w:r>
    </w:p>
    <w:p w:rsidR="00000000" w:rsidDel="00000000" w:rsidP="00000000" w:rsidRDefault="00000000" w:rsidRPr="00000000" w14:paraId="00000005">
      <w:pPr>
        <w:pStyle w:val="Heading1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Preparation for Sale of lot in Monterey Estates Community Association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80" w:before="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TO: </w:t>
        <w:tab/>
        <w:tab/>
        <w:t xml:space="preserve">MECA Board</w:t>
      </w:r>
    </w:p>
    <w:p w:rsidR="00000000" w:rsidDel="00000000" w:rsidP="00000000" w:rsidRDefault="00000000" w:rsidRPr="00000000" w14:paraId="00000008">
      <w:pPr>
        <w:spacing w:after="80" w:before="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RE:</w:t>
        <w:tab/>
        <w:tab/>
        <w:t xml:space="preserve">Request for Disclosure Packet </w:t>
      </w:r>
    </w:p>
    <w:p w:rsidR="00000000" w:rsidDel="00000000" w:rsidP="00000000" w:rsidRDefault="00000000" w:rsidRPr="00000000" w14:paraId="00000009">
      <w:pPr>
        <w:spacing w:after="80" w:before="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 </w:t>
        <w:tab/>
        <w:t xml:space="preserve">_________________________________</w:t>
      </w:r>
    </w:p>
    <w:p w:rsidR="00000000" w:rsidDel="00000000" w:rsidP="00000000" w:rsidRDefault="00000000" w:rsidRPr="00000000" w14:paraId="0000000A">
      <w:pPr>
        <w:spacing w:after="80" w:before="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80" w:before="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FROM:</w:t>
        <w:tab/>
        <w:t xml:space="preserve">_________________________________</w:t>
      </w:r>
    </w:p>
    <w:p w:rsidR="00000000" w:rsidDel="00000000" w:rsidP="00000000" w:rsidRDefault="00000000" w:rsidRPr="00000000" w14:paraId="0000000C">
      <w:pPr>
        <w:spacing w:after="80" w:before="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80" w:before="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</w:t>
        <w:tab/>
        <w:t xml:space="preserve">_________________________________</w:t>
      </w:r>
    </w:p>
    <w:p w:rsidR="00000000" w:rsidDel="00000000" w:rsidP="00000000" w:rsidRDefault="00000000" w:rsidRPr="00000000" w14:paraId="0000000E">
      <w:pPr>
        <w:spacing w:after="80" w:before="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80" w:before="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Telephone:</w:t>
        <w:tab/>
        <w:t xml:space="preserve">_________________________________</w:t>
      </w:r>
    </w:p>
    <w:p w:rsidR="00000000" w:rsidDel="00000000" w:rsidP="00000000" w:rsidRDefault="00000000" w:rsidRPr="00000000" w14:paraId="00000010">
      <w:pPr>
        <w:spacing w:after="80" w:before="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80" w:before="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         _________________________________</w:t>
      </w:r>
    </w:p>
    <w:p w:rsidR="00000000" w:rsidDel="00000000" w:rsidP="00000000" w:rsidRDefault="00000000" w:rsidRPr="00000000" w14:paraId="00000012">
      <w:pPr>
        <w:spacing w:after="80" w:before="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80" w:before="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THIS completed application to ALL the following contacts.  Please note that the turnaround time for a disclosure packet is up to </w:t>
      </w:r>
      <w:r w:rsidDel="00000000" w:rsidR="00000000" w:rsidRPr="00000000">
        <w:rPr>
          <w:highlight w:val="yellow"/>
          <w:u w:val="single"/>
          <w:vertAlign w:val="baseline"/>
          <w:rtl w:val="0"/>
        </w:rPr>
        <w:t xml:space="preserve">2 weeks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80" w:before="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Disclosure packet coordinator Cameron Eckhardt </w:t>
      </w:r>
      <w:r w:rsidDel="00000000" w:rsidR="00000000" w:rsidRPr="00000000">
        <w:rPr>
          <w:color w:val="0000ff"/>
          <w:u w:val="single"/>
          <w:vertAlign w:val="baseline"/>
          <w:rtl w:val="0"/>
        </w:rPr>
        <w:t xml:space="preserve">mecahoasocial@gmail.com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80" w:before="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ACC Chair Members:  </w:t>
      </w:r>
      <w:r w:rsidDel="00000000" w:rsidR="00000000" w:rsidRPr="00000000">
        <w:rPr>
          <w:sz w:val="22"/>
          <w:szCs w:val="22"/>
          <w:rtl w:val="0"/>
        </w:rPr>
        <w:t xml:space="preserve">Dino Garcia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MECA.ACC.VA@gmail.com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80" w:before="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Treasurer: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Lang Nguyen </w:t>
      </w:r>
      <w:hyperlink r:id="rId8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lang_nguyen8574@yahoo.com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80" w:before="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The ACC chair will inspect your lot for clearance.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80" w:before="8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Treasurer will confirm current payment of dues for clearance.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80" w:before="8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Disclosure packet coordinator will complete the disclosure packet and notify you when it is ready.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80" w:before="8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cost of a disclosure packet is $</w:t>
      </w:r>
      <w:r w:rsidDel="00000000" w:rsidR="00000000" w:rsidRPr="00000000">
        <w:rPr>
          <w:b w:val="1"/>
          <w:vertAlign w:val="baseline"/>
          <w:rtl w:val="0"/>
        </w:rPr>
        <w:t xml:space="preserve">100.00.  It must be paid at time of packet delivery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b w:val="1"/>
          <w:vertAlign w:val="baseline"/>
          <w:rtl w:val="0"/>
        </w:rPr>
        <w:t xml:space="preserve"> Payment can be made </w:t>
      </w:r>
      <w:r w:rsidDel="00000000" w:rsidR="00000000" w:rsidRPr="00000000">
        <w:rPr>
          <w:b w:val="1"/>
          <w:rtl w:val="0"/>
        </w:rPr>
        <w:t xml:space="preserve">through our website or by check. </w:t>
      </w:r>
      <w:r w:rsidDel="00000000" w:rsidR="00000000" w:rsidRPr="00000000">
        <w:rPr>
          <w:vertAlign w:val="baseline"/>
          <w:rtl w:val="0"/>
        </w:rPr>
        <w:t xml:space="preserve">Virginia law effective July 1, 2010, allows self-managed homeowner associations (i.e., managed by residents) to require payment for a resale disclosure packet at the time the packet is delivered.  See </w:t>
      </w:r>
      <w:hyperlink r:id="rId9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http://leg1.state.va.us/cgi-bin/legp504.exe?101+sum+hb702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720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80" w:before="80" w:lineRule="auto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eg1.state.va.us/cgi-bin/legp504.exe?101+sum+hb702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ECA.ACC.VA@gmail.com" TargetMode="External"/><Relationship Id="rId8" Type="http://schemas.openxmlformats.org/officeDocument/2006/relationships/hyperlink" Target="mailto:lang_nguyen8574@yaho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